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43001-343/2021-0</w:t>
            </w:r>
            <w:r w:rsidR="00E311E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E311EB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43FA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C5773" w:rsidRPr="00BC5773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BC5773" w:rsidRDefault="00037CE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11E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543FA0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D0EF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311EB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:rsidR="00E813F4" w:rsidRPr="00E311EB" w:rsidRDefault="00E813F4" w:rsidP="00037CE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311EB">
        <w:rPr>
          <w:rFonts w:ascii="Tahoma" w:hAnsi="Tahoma" w:cs="Tahoma"/>
          <w:b/>
          <w:szCs w:val="20"/>
        </w:rPr>
        <w:t>Vprašanje:</w:t>
      </w:r>
    </w:p>
    <w:p w:rsidR="00E813F4" w:rsidRPr="00E311EB" w:rsidRDefault="00E813F4" w:rsidP="00037CE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37CE7" w:rsidRDefault="00E311EB" w:rsidP="00037CE7">
      <w:pPr>
        <w:pStyle w:val="Telobesedila2"/>
        <w:jc w:val="left"/>
        <w:rPr>
          <w:rFonts w:ascii="Tahoma" w:hAnsi="Tahoma" w:cs="Tahoma"/>
          <w:b/>
          <w:szCs w:val="20"/>
        </w:rPr>
      </w:pP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prosimo za pojasnila naslednjih postavk: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1. Mostova M in M1,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, Ostala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. Postavka S13 223: Prosimo za bolj natančne podatke količin in del za izvedbe začasne preusmeritve vodotoka.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2. Vodovod (2. in 3. etapa),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, Ostala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, Postavka S12 498: Prosimo za bolj natančne podatke količin in del za izvedbo demontaže obstoječih vodovodnih cevi.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3. Tuje storitve (vse etape), postavki S79 311 in S79 351: Prosimo, da natančno definirate število ur nadzora upravljalca komunalnih vodov in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geotehničnega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 nadzora. Prav tako predlagamo, da določite enotno ceno za vse ponudnike, tako kot ste to naredili pri projektantskem nadzoru.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4. Cesta - v naselju in izven naselja (vse etape), Odvodnjavanje, Globinsko odvodnjavanje - drenaže, Postavka S42 163: V postavki je navedeno zasutje z drenažnim materialom v količini 1 m3/m1. Ali je pri količini zasutja na m1 prišlo do napake? Zasutje je predvideno za cevi premera 15 cm in globine do 1 m. Prav tako je enako zasutje predvideno (1 m3/m1) v Etapi 3, Lokalna cesta, odvodnjavanje, globinsko odvodnjavanje - drenaže, Postavka S42 162, za cevi premera 10 cm, globine do 1m.</w:t>
      </w:r>
      <w:r w:rsidRPr="00E311EB">
        <w:rPr>
          <w:rFonts w:ascii="Tahoma" w:hAnsi="Tahoma" w:cs="Tahoma"/>
          <w:color w:val="333333"/>
          <w:szCs w:val="20"/>
        </w:rPr>
        <w:br/>
      </w:r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 xml:space="preserve">5. Etapa 4, Cesta - izven naselja, </w:t>
      </w:r>
      <w:proofErr w:type="spellStart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E311EB">
        <w:rPr>
          <w:rFonts w:ascii="Tahoma" w:hAnsi="Tahoma" w:cs="Tahoma"/>
          <w:color w:val="333333"/>
          <w:szCs w:val="20"/>
          <w:shd w:val="clear" w:color="auto" w:fill="FFFFFF"/>
        </w:rPr>
        <w:t>, Čiščenje terena, Postavka N11 102: Porušitev obstoječih stopnic, izdelava opornega zidu s stopnicami za dostop v kapelico (količina 11 m1). Prosimo, da natančno definirate količino rušenja obstoječih stopnic, ter natančno definirate potrebna dela za izvedbo opornega zidu in novih stopnic za dostop do kapelice.</w:t>
      </w:r>
      <w:r w:rsidRPr="00E311EB">
        <w:rPr>
          <w:rFonts w:ascii="Tahoma" w:hAnsi="Tahoma" w:cs="Tahoma"/>
          <w:color w:val="333333"/>
          <w:szCs w:val="20"/>
        </w:rPr>
        <w:br/>
      </w:r>
    </w:p>
    <w:p w:rsidR="003117A0" w:rsidRPr="00E311EB" w:rsidRDefault="003117A0" w:rsidP="00037CE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311EB" w:rsidRDefault="00E813F4" w:rsidP="00037CE7">
      <w:pPr>
        <w:pStyle w:val="Telobesedila2"/>
        <w:jc w:val="left"/>
        <w:rPr>
          <w:rFonts w:ascii="Tahoma" w:hAnsi="Tahoma" w:cs="Tahoma"/>
          <w:b/>
          <w:szCs w:val="20"/>
        </w:rPr>
      </w:pPr>
      <w:r w:rsidRPr="00E311EB">
        <w:rPr>
          <w:rFonts w:ascii="Tahoma" w:hAnsi="Tahoma" w:cs="Tahoma"/>
          <w:b/>
          <w:szCs w:val="20"/>
        </w:rPr>
        <w:t>Odgovor:</w:t>
      </w:r>
    </w:p>
    <w:p w:rsidR="003117A0" w:rsidRDefault="003117A0" w:rsidP="003117A0">
      <w:pPr>
        <w:rPr>
          <w:rFonts w:ascii="Tahoma" w:hAnsi="Tahoma" w:cs="Tahoma"/>
          <w:b/>
          <w:sz w:val="20"/>
          <w:szCs w:val="20"/>
        </w:rPr>
      </w:pPr>
    </w:p>
    <w:p w:rsidR="003117A0" w:rsidRDefault="003117A0" w:rsidP="003117A0">
      <w:pPr>
        <w:rPr>
          <w:sz w:val="14"/>
          <w:szCs w:val="14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Ad.1</w:t>
      </w:r>
      <w:proofErr w:type="spellEnd"/>
      <w:r>
        <w:rPr>
          <w:rFonts w:ascii="Tahoma" w:hAnsi="Tahoma" w:cs="Tahoma"/>
          <w:b/>
          <w:sz w:val="20"/>
          <w:szCs w:val="20"/>
        </w:rPr>
        <w:t>, most M1:</w:t>
      </w:r>
      <w:r w:rsidRPr="006C10E9">
        <w:rPr>
          <w:sz w:val="14"/>
          <w:szCs w:val="14"/>
        </w:rPr>
        <w:t xml:space="preserve">      </w:t>
      </w:r>
    </w:p>
    <w:p w:rsidR="003117A0" w:rsidRDefault="003117A0" w:rsidP="003117A0">
      <w:pPr>
        <w:rPr>
          <w:rFonts w:ascii="Tahoma" w:hAnsi="Tahoma" w:cs="Tahoma"/>
          <w:sz w:val="20"/>
          <w:szCs w:val="20"/>
        </w:rPr>
      </w:pPr>
      <w:r w:rsidRPr="006C10E9">
        <w:rPr>
          <w:rFonts w:ascii="Tahoma" w:hAnsi="Tahoma" w:cs="Tahoma"/>
          <w:sz w:val="20"/>
          <w:szCs w:val="20"/>
        </w:rPr>
        <w:t>Pri mostu M1 se obojestransko podaljša mostno konstrukcijo kot okvir (</w:t>
      </w:r>
      <w:proofErr w:type="spellStart"/>
      <w:r w:rsidRPr="006C10E9">
        <w:rPr>
          <w:rFonts w:ascii="Tahoma" w:hAnsi="Tahoma" w:cs="Tahoma"/>
          <w:sz w:val="20"/>
          <w:szCs w:val="20"/>
        </w:rPr>
        <w:t>gorvodno</w:t>
      </w:r>
      <w:proofErr w:type="spellEnd"/>
      <w:r w:rsidRPr="006C10E9">
        <w:rPr>
          <w:rFonts w:ascii="Tahoma" w:hAnsi="Tahoma" w:cs="Tahoma"/>
          <w:sz w:val="20"/>
          <w:szCs w:val="20"/>
        </w:rPr>
        <w:t xml:space="preserve"> ca 1,6 m, </w:t>
      </w:r>
      <w:proofErr w:type="spellStart"/>
      <w:r w:rsidRPr="006C10E9">
        <w:rPr>
          <w:rFonts w:ascii="Tahoma" w:hAnsi="Tahoma" w:cs="Tahoma"/>
          <w:sz w:val="20"/>
          <w:szCs w:val="20"/>
        </w:rPr>
        <w:t>dolvodno</w:t>
      </w:r>
      <w:proofErr w:type="spellEnd"/>
      <w:r w:rsidRPr="006C10E9">
        <w:rPr>
          <w:rFonts w:ascii="Tahoma" w:hAnsi="Tahoma" w:cs="Tahoma"/>
          <w:sz w:val="20"/>
          <w:szCs w:val="20"/>
        </w:rPr>
        <w:t xml:space="preserve"> 4,5 m)– to pomeni da je potrebno vodo preusmeriti v cev, da se lahko pod cevjo izvede to ploščo ter stene. Kakšna cev je za to potrebna je odvisno tudi od količine vode in letnega časa gradnje. Predvideni sta dve preusmeritvi, najprej za </w:t>
      </w:r>
      <w:proofErr w:type="spellStart"/>
      <w:r w:rsidRPr="006C10E9">
        <w:rPr>
          <w:rFonts w:ascii="Tahoma" w:hAnsi="Tahoma" w:cs="Tahoma"/>
          <w:sz w:val="20"/>
          <w:szCs w:val="20"/>
        </w:rPr>
        <w:t>gorvodno</w:t>
      </w:r>
      <w:proofErr w:type="spellEnd"/>
      <w:r w:rsidRPr="006C10E9">
        <w:rPr>
          <w:rFonts w:ascii="Tahoma" w:hAnsi="Tahoma" w:cs="Tahoma"/>
          <w:sz w:val="20"/>
          <w:szCs w:val="20"/>
        </w:rPr>
        <w:t xml:space="preserve"> in še za </w:t>
      </w:r>
      <w:proofErr w:type="spellStart"/>
      <w:r w:rsidRPr="006C10E9">
        <w:rPr>
          <w:rFonts w:ascii="Tahoma" w:hAnsi="Tahoma" w:cs="Tahoma"/>
          <w:sz w:val="20"/>
          <w:szCs w:val="20"/>
        </w:rPr>
        <w:t>dolvodno</w:t>
      </w:r>
      <w:proofErr w:type="spellEnd"/>
      <w:r w:rsidRPr="006C10E9">
        <w:rPr>
          <w:rFonts w:ascii="Tahoma" w:hAnsi="Tahoma" w:cs="Tahoma"/>
          <w:sz w:val="20"/>
          <w:szCs w:val="20"/>
        </w:rPr>
        <w:t xml:space="preserve"> izvedbo plošče+sten.</w:t>
      </w:r>
    </w:p>
    <w:p w:rsidR="003117A0" w:rsidRPr="006C10E9" w:rsidRDefault="003117A0" w:rsidP="003117A0">
      <w:pPr>
        <w:rPr>
          <w:rFonts w:ascii="Tahoma" w:hAnsi="Tahoma" w:cs="Tahoma"/>
          <w:b/>
          <w:sz w:val="20"/>
          <w:szCs w:val="20"/>
        </w:rPr>
      </w:pPr>
    </w:p>
    <w:p w:rsidR="003117A0" w:rsidRDefault="003117A0" w:rsidP="003117A0">
      <w:pPr>
        <w:pStyle w:val="Odstavekseznama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w:drawing>
          <wp:inline distT="0" distB="0" distL="0" distR="0" wp14:anchorId="00FFC55E" wp14:editId="6F4364F6">
            <wp:extent cx="5114925" cy="2658645"/>
            <wp:effectExtent l="0" t="0" r="0" b="8890"/>
            <wp:docPr id="7" name="Slika 7" descr="cid:image002.png@01D7C110.1BEB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C110.1BEB45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96" cy="26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A0" w:rsidRDefault="003117A0" w:rsidP="003117A0">
      <w:pPr>
        <w:pStyle w:val="Odstavekseznama"/>
        <w:ind w:left="0"/>
        <w:rPr>
          <w:rFonts w:ascii="Tahoma" w:hAnsi="Tahoma" w:cs="Tahoma"/>
          <w:b/>
          <w:sz w:val="20"/>
          <w:szCs w:val="20"/>
          <w:lang w:eastAsia="en-US"/>
        </w:rPr>
      </w:pPr>
    </w:p>
    <w:p w:rsidR="003117A0" w:rsidRDefault="003117A0" w:rsidP="003117A0">
      <w:pPr>
        <w:pStyle w:val="Odstavekseznama"/>
        <w:ind w:left="0"/>
        <w:rPr>
          <w:rFonts w:ascii="Tahoma" w:hAnsi="Tahoma" w:cs="Tahoma"/>
          <w:b/>
          <w:sz w:val="20"/>
          <w:szCs w:val="20"/>
          <w:lang w:eastAsia="en-US"/>
        </w:rPr>
      </w:pPr>
      <w:proofErr w:type="spellStart"/>
      <w:r w:rsidRPr="0014388C">
        <w:rPr>
          <w:rFonts w:ascii="Tahoma" w:hAnsi="Tahoma" w:cs="Tahoma"/>
          <w:b/>
          <w:sz w:val="20"/>
          <w:szCs w:val="20"/>
          <w:lang w:eastAsia="en-US"/>
        </w:rPr>
        <w:t>Ad.</w:t>
      </w:r>
      <w:r>
        <w:rPr>
          <w:rFonts w:ascii="Tahoma" w:hAnsi="Tahoma" w:cs="Tahoma"/>
          <w:b/>
          <w:sz w:val="20"/>
          <w:szCs w:val="20"/>
          <w:lang w:eastAsia="en-US"/>
        </w:rPr>
        <w:t>1</w:t>
      </w:r>
      <w:proofErr w:type="spellEnd"/>
      <w:r>
        <w:rPr>
          <w:rFonts w:ascii="Tahoma" w:hAnsi="Tahoma" w:cs="Tahoma"/>
          <w:b/>
          <w:sz w:val="20"/>
          <w:szCs w:val="20"/>
          <w:lang w:eastAsia="en-US"/>
        </w:rPr>
        <w:t>, most M</w:t>
      </w:r>
      <w:r w:rsidRPr="0014388C">
        <w:rPr>
          <w:rFonts w:ascii="Tahoma" w:hAnsi="Tahoma" w:cs="Tahoma"/>
          <w:b/>
          <w:sz w:val="20"/>
          <w:szCs w:val="20"/>
          <w:lang w:eastAsia="en-US"/>
        </w:rPr>
        <w:t>:</w:t>
      </w:r>
    </w:p>
    <w:p w:rsidR="003117A0" w:rsidRDefault="003117A0" w:rsidP="003117A0">
      <w:pPr>
        <w:pStyle w:val="Odstavekseznama"/>
        <w:ind w:left="0"/>
        <w:rPr>
          <w:rFonts w:ascii="Tahoma" w:hAnsi="Tahoma" w:cs="Tahoma"/>
          <w:sz w:val="20"/>
          <w:szCs w:val="20"/>
          <w:lang w:eastAsia="en-US"/>
        </w:rPr>
      </w:pPr>
      <w:r w:rsidRPr="0014388C">
        <w:rPr>
          <w:rFonts w:ascii="Tahoma" w:hAnsi="Tahoma" w:cs="Tahoma"/>
          <w:sz w:val="20"/>
          <w:szCs w:val="20"/>
          <w:lang w:eastAsia="en-US"/>
        </w:rPr>
        <w:t>Pri mostu M pa je potrebno lokalna vogalna območja samo ščititi pred visoko vodo. Dela se više nad strugo.</w:t>
      </w:r>
    </w:p>
    <w:p w:rsidR="003117A0" w:rsidRPr="0014388C" w:rsidRDefault="003117A0" w:rsidP="003117A0">
      <w:pPr>
        <w:pStyle w:val="Odstavekseznama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117A0" w:rsidRDefault="003117A0" w:rsidP="003117A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sl-SI"/>
        </w:rPr>
        <w:drawing>
          <wp:inline distT="0" distB="0" distL="0" distR="0" wp14:anchorId="07852BF4" wp14:editId="1AF3F4F4">
            <wp:extent cx="5378464" cy="2895600"/>
            <wp:effectExtent l="0" t="0" r="0" b="0"/>
            <wp:docPr id="6" name="Slika 6" descr="cid:image003.png@01D7C110.4AF2E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7C110.4AF2E9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92" cy="2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311EB">
        <w:rPr>
          <w:rFonts w:ascii="Tahoma" w:hAnsi="Tahoma" w:cs="Tahoma"/>
          <w:color w:val="333333"/>
          <w:szCs w:val="20"/>
        </w:rPr>
        <w:br/>
      </w:r>
      <w:r w:rsidRPr="0014388C">
        <w:rPr>
          <w:rFonts w:ascii="Tahoma" w:hAnsi="Tahoma" w:cs="Tahoma"/>
          <w:b/>
          <w:color w:val="333333"/>
          <w:szCs w:val="20"/>
          <w:shd w:val="clear" w:color="auto" w:fill="FFFFFF"/>
        </w:rPr>
        <w:t>Ad.2:</w:t>
      </w:r>
    </w:p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szCs w:val="20"/>
        </w:rPr>
      </w:pPr>
      <w:r w:rsidRPr="0014388C">
        <w:rPr>
          <w:rFonts w:ascii="Tahoma" w:hAnsi="Tahoma" w:cs="Tahoma"/>
          <w:szCs w:val="20"/>
        </w:rPr>
        <w:t>Prilagamo natančnejši opis postavke S12 498</w:t>
      </w:r>
    </w:p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szCs w:val="20"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3760"/>
      </w:tblGrid>
      <w:tr w:rsidR="003117A0" w:rsidRPr="0014388C" w:rsidTr="00F06FF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t>S12 498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t>Porušitev in odstranitev obstoječega vodovoda do DN 250 mm,vključno z demontažo obstoječih armaturnih kosov, obstoječih spojnih elementov in odvozom na trajno deponijo</w:t>
            </w:r>
          </w:p>
        </w:tc>
      </w:tr>
    </w:tbl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szCs w:val="20"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3760"/>
      </w:tblGrid>
      <w:tr w:rsidR="003117A0" w:rsidRPr="0014388C" w:rsidTr="00F06FF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lastRenderedPageBreak/>
              <w:t>0002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t>S12 498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A0" w:rsidRPr="0014388C" w:rsidRDefault="003117A0" w:rsidP="00F06FF4">
            <w:pPr>
              <w:rPr>
                <w:rFonts w:ascii="Arial" w:hAnsi="Arial" w:cs="Arial"/>
                <w:sz w:val="20"/>
                <w:szCs w:val="20"/>
              </w:rPr>
            </w:pPr>
            <w:r w:rsidRPr="0014388C">
              <w:rPr>
                <w:rFonts w:ascii="Arial" w:hAnsi="Arial" w:cs="Arial"/>
                <w:sz w:val="20"/>
                <w:szCs w:val="20"/>
              </w:rPr>
              <w:t>Porušitev in odstranitev obstoječega vodovoda do DN 100 mm,vključno z demontažo obstoječih armaturnih kosov, obstoječih spojnih elementov in odvozom na trajno deponijo</w:t>
            </w:r>
          </w:p>
        </w:tc>
      </w:tr>
    </w:tbl>
    <w:p w:rsidR="003117A0" w:rsidRDefault="003117A0" w:rsidP="003117A0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b/>
          <w:color w:val="333333"/>
          <w:szCs w:val="20"/>
        </w:rPr>
      </w:pPr>
      <w:r w:rsidRPr="0014388C">
        <w:rPr>
          <w:rFonts w:ascii="Tahoma" w:hAnsi="Tahoma" w:cs="Tahoma"/>
          <w:b/>
          <w:color w:val="333333"/>
          <w:szCs w:val="20"/>
        </w:rPr>
        <w:t>Ad.3:</w:t>
      </w:r>
    </w:p>
    <w:p w:rsidR="003117A0" w:rsidRPr="0014388C" w:rsidRDefault="003117A0" w:rsidP="003117A0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E311EB">
        <w:rPr>
          <w:rFonts w:ascii="Tahoma" w:hAnsi="Tahoma" w:cs="Tahoma"/>
          <w:color w:val="333333"/>
          <w:szCs w:val="20"/>
        </w:rPr>
        <w:br/>
      </w:r>
      <w:r w:rsidRPr="0014388C">
        <w:rPr>
          <w:rFonts w:ascii="Tahoma" w:hAnsi="Tahoma" w:cs="Tahoma"/>
          <w:szCs w:val="20"/>
          <w:shd w:val="clear" w:color="auto" w:fill="FFFFFF"/>
        </w:rPr>
        <w:t>Skupno število ur je naslednje:</w:t>
      </w:r>
    </w:p>
    <w:p w:rsidR="003117A0" w:rsidRDefault="003117A0" w:rsidP="003117A0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proofErr w:type="spellStart"/>
      <w:r w:rsidRPr="0014388C">
        <w:rPr>
          <w:rFonts w:ascii="Tahoma" w:hAnsi="Tahoma" w:cs="Tahoma"/>
          <w:szCs w:val="20"/>
          <w:shd w:val="clear" w:color="auto" w:fill="FFFFFF"/>
        </w:rPr>
        <w:t>Geotehnični</w:t>
      </w:r>
      <w:proofErr w:type="spellEnd"/>
      <w:r w:rsidRPr="0014388C">
        <w:rPr>
          <w:rFonts w:ascii="Tahoma" w:hAnsi="Tahoma" w:cs="Tahoma"/>
          <w:szCs w:val="20"/>
          <w:shd w:val="clear" w:color="auto" w:fill="FFFFFF"/>
        </w:rPr>
        <w:t xml:space="preserve"> nadzor: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1. Etapa: 84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2. Etapa: 65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3. Etapa: 96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5. Etapa: 72 ur</w:t>
      </w:r>
    </w:p>
    <w:p w:rsidR="003117A0" w:rsidRDefault="003117A0" w:rsidP="003117A0">
      <w:pPr>
        <w:pStyle w:val="Telobesedila2"/>
        <w:ind w:left="1440"/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Skupaj 317 ur</w:t>
      </w:r>
    </w:p>
    <w:p w:rsidR="003117A0" w:rsidRDefault="003117A0" w:rsidP="003117A0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 xml:space="preserve">Nadzor </w:t>
      </w:r>
      <w:proofErr w:type="spellStart"/>
      <w:r>
        <w:rPr>
          <w:rFonts w:ascii="Tahoma" w:hAnsi="Tahoma" w:cs="Tahoma"/>
          <w:szCs w:val="20"/>
          <w:shd w:val="clear" w:color="auto" w:fill="FFFFFF"/>
        </w:rPr>
        <w:t>upravljalca</w:t>
      </w:r>
      <w:proofErr w:type="spellEnd"/>
      <w:r>
        <w:rPr>
          <w:rFonts w:ascii="Tahoma" w:hAnsi="Tahoma" w:cs="Tahoma"/>
          <w:szCs w:val="20"/>
          <w:shd w:val="clear" w:color="auto" w:fill="FFFFFF"/>
        </w:rPr>
        <w:t xml:space="preserve"> kom.vodov: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1. Etapa: 36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2. Etapa: 23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3. Etapa: 24 ur</w:t>
      </w:r>
    </w:p>
    <w:p w:rsidR="003117A0" w:rsidRDefault="003117A0" w:rsidP="003117A0">
      <w:pPr>
        <w:pStyle w:val="Telobesedila2"/>
        <w:numPr>
          <w:ilvl w:val="1"/>
          <w:numId w:val="19"/>
        </w:numPr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5. Etapa: 19 ur</w:t>
      </w:r>
    </w:p>
    <w:p w:rsidR="003117A0" w:rsidRDefault="003117A0" w:rsidP="003117A0">
      <w:pPr>
        <w:pStyle w:val="Telobesedila2"/>
        <w:ind w:left="1440"/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Skupaj 102 uri</w:t>
      </w:r>
    </w:p>
    <w:p w:rsidR="003117A0" w:rsidRDefault="003117A0" w:rsidP="003117A0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Naročnik ne bo spreminjal popisa del.</w:t>
      </w:r>
    </w:p>
    <w:p w:rsidR="00327A09" w:rsidRPr="0014388C" w:rsidRDefault="00327A09" w:rsidP="003117A0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bookmarkStart w:id="0" w:name="_GoBack"/>
      <w:bookmarkEnd w:id="0"/>
    </w:p>
    <w:p w:rsidR="003117A0" w:rsidRPr="008415E6" w:rsidRDefault="003117A0" w:rsidP="003117A0">
      <w:pPr>
        <w:pStyle w:val="Telobesedila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8415E6">
        <w:rPr>
          <w:rFonts w:ascii="Tahoma" w:hAnsi="Tahoma" w:cs="Tahoma"/>
          <w:b/>
          <w:color w:val="333333"/>
          <w:szCs w:val="20"/>
          <w:shd w:val="clear" w:color="auto" w:fill="FFFFFF"/>
        </w:rPr>
        <w:t>Ad.4:</w:t>
      </w:r>
    </w:p>
    <w:p w:rsidR="003117A0" w:rsidRDefault="003117A0" w:rsidP="003117A0">
      <w:pPr>
        <w:pStyle w:val="Navadensplet"/>
        <w:spacing w:before="0" w:beforeAutospacing="0" w:after="0" w:afterAutospacing="0"/>
        <w:rPr>
          <w:rFonts w:ascii="Calibri" w:hAnsi="Calibri" w:cs="Calibri"/>
          <w:color w:val="70AD47"/>
          <w:sz w:val="22"/>
          <w:szCs w:val="22"/>
        </w:rPr>
      </w:pPr>
      <w:r>
        <w:rPr>
          <w:rFonts w:ascii="Calibri" w:hAnsi="Calibri" w:cs="Calibri"/>
          <w:color w:val="70AD47"/>
          <w:sz w:val="22"/>
          <w:szCs w:val="22"/>
        </w:rPr>
        <w:t> </w:t>
      </w:r>
    </w:p>
    <w:p w:rsidR="003117A0" w:rsidRPr="008415E6" w:rsidRDefault="003117A0" w:rsidP="003117A0">
      <w:pPr>
        <w:rPr>
          <w:rFonts w:ascii="Tahoma" w:hAnsi="Tahoma" w:cs="Tahoma"/>
          <w:sz w:val="20"/>
        </w:rPr>
      </w:pPr>
      <w:r w:rsidRPr="008415E6">
        <w:rPr>
          <w:rFonts w:ascii="Tahoma" w:hAnsi="Tahoma" w:cs="Tahoma"/>
          <w:sz w:val="20"/>
        </w:rPr>
        <w:t>S 42163 (drenažna cev premera 15 cm)</w:t>
      </w:r>
    </w:p>
    <w:p w:rsidR="003117A0" w:rsidRPr="008415E6" w:rsidRDefault="003117A0" w:rsidP="003117A0">
      <w:pPr>
        <w:pStyle w:val="Navadensplet"/>
        <w:spacing w:before="0" w:beforeAutospacing="0" w:after="0" w:afterAutospacing="0"/>
        <w:rPr>
          <w:rFonts w:ascii="Tahoma" w:hAnsi="Tahoma" w:cs="Tahoma"/>
          <w:sz w:val="20"/>
        </w:rPr>
      </w:pPr>
      <w:r w:rsidRPr="008415E6">
        <w:rPr>
          <w:rFonts w:ascii="Tahoma" w:hAnsi="Tahoma" w:cs="Tahoma"/>
          <w:sz w:val="20"/>
        </w:rPr>
        <w:t>Količina drenažnega zasutja nad cevjo znaša 0,24 m3/m1.</w:t>
      </w:r>
    </w:p>
    <w:p w:rsidR="003117A0" w:rsidRPr="008415E6" w:rsidRDefault="003117A0" w:rsidP="003117A0">
      <w:pPr>
        <w:rPr>
          <w:rFonts w:ascii="Tahoma" w:hAnsi="Tahoma" w:cs="Tahoma"/>
          <w:sz w:val="20"/>
        </w:rPr>
      </w:pPr>
    </w:p>
    <w:p w:rsidR="003117A0" w:rsidRPr="008415E6" w:rsidRDefault="003117A0" w:rsidP="003117A0">
      <w:pPr>
        <w:rPr>
          <w:rFonts w:ascii="Tahoma" w:hAnsi="Tahoma" w:cs="Tahoma"/>
          <w:sz w:val="20"/>
        </w:rPr>
      </w:pPr>
      <w:r w:rsidRPr="008415E6">
        <w:rPr>
          <w:rFonts w:ascii="Tahoma" w:hAnsi="Tahoma" w:cs="Tahoma"/>
          <w:sz w:val="20"/>
        </w:rPr>
        <w:t>S 42162 (drenažna cev premera 10 cm)</w:t>
      </w:r>
    </w:p>
    <w:p w:rsidR="003117A0" w:rsidRPr="008415E6" w:rsidRDefault="003117A0" w:rsidP="003117A0">
      <w:pPr>
        <w:pStyle w:val="Navadensplet"/>
        <w:spacing w:before="0" w:beforeAutospacing="0" w:after="0" w:afterAutospacing="0"/>
        <w:rPr>
          <w:rFonts w:ascii="Tahoma" w:hAnsi="Tahoma" w:cs="Tahoma"/>
          <w:sz w:val="20"/>
        </w:rPr>
      </w:pPr>
      <w:r w:rsidRPr="008415E6">
        <w:rPr>
          <w:rFonts w:ascii="Tahoma" w:hAnsi="Tahoma" w:cs="Tahoma"/>
          <w:sz w:val="20"/>
        </w:rPr>
        <w:t>Količina drenažnega zasutja nad cevjo znaša 0,20 m3/m1.</w:t>
      </w:r>
    </w:p>
    <w:p w:rsidR="003117A0" w:rsidRDefault="003117A0" w:rsidP="003117A0">
      <w:pPr>
        <w:pStyle w:val="Telobesedila2"/>
        <w:rPr>
          <w:rFonts w:ascii="Tahoma" w:hAnsi="Tahoma" w:cs="Tahoma"/>
          <w:color w:val="333333"/>
          <w:szCs w:val="20"/>
        </w:rPr>
      </w:pPr>
    </w:p>
    <w:p w:rsidR="003117A0" w:rsidRPr="008415E6" w:rsidRDefault="003117A0" w:rsidP="003117A0">
      <w:pPr>
        <w:pStyle w:val="Telobesedila2"/>
        <w:rPr>
          <w:rFonts w:ascii="Tahoma" w:hAnsi="Tahoma" w:cs="Tahoma"/>
          <w:b/>
          <w:color w:val="333333"/>
          <w:szCs w:val="20"/>
        </w:rPr>
      </w:pPr>
      <w:r w:rsidRPr="008415E6">
        <w:rPr>
          <w:rFonts w:ascii="Tahoma" w:hAnsi="Tahoma" w:cs="Tahoma"/>
          <w:b/>
          <w:color w:val="333333"/>
          <w:szCs w:val="20"/>
        </w:rPr>
        <w:t>Ad.5:</w:t>
      </w:r>
    </w:p>
    <w:p w:rsidR="003117A0" w:rsidRPr="008415E6" w:rsidRDefault="003117A0" w:rsidP="003117A0">
      <w:pPr>
        <w:pStyle w:val="Telobesedila2"/>
        <w:rPr>
          <w:rFonts w:ascii="Tahoma" w:hAnsi="Tahoma" w:cs="Tahoma"/>
          <w:szCs w:val="20"/>
        </w:rPr>
      </w:pPr>
      <w:r w:rsidRPr="00E311EB">
        <w:rPr>
          <w:rFonts w:ascii="Tahoma" w:hAnsi="Tahoma" w:cs="Tahoma"/>
          <w:color w:val="333333"/>
          <w:szCs w:val="20"/>
        </w:rPr>
        <w:br/>
      </w:r>
      <w:r w:rsidRPr="008415E6">
        <w:rPr>
          <w:rFonts w:ascii="Tahoma" w:hAnsi="Tahoma" w:cs="Tahoma"/>
          <w:szCs w:val="20"/>
        </w:rPr>
        <w:t>Upoštevati je sledeče:</w:t>
      </w:r>
    </w:p>
    <w:p w:rsidR="003117A0" w:rsidRPr="008415E6" w:rsidRDefault="003117A0" w:rsidP="003117A0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8415E6">
        <w:rPr>
          <w:rFonts w:ascii="Tahoma" w:hAnsi="Tahoma" w:cs="Tahoma"/>
          <w:szCs w:val="20"/>
        </w:rPr>
        <w:t>Odstranitev in ponovna postavitev obstoječih lesenih stopničk za dostop do kapelice</w:t>
      </w:r>
    </w:p>
    <w:p w:rsidR="003117A0" w:rsidRPr="008415E6" w:rsidRDefault="003117A0" w:rsidP="003117A0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8415E6">
        <w:rPr>
          <w:rFonts w:ascii="Tahoma" w:hAnsi="Tahoma" w:cs="Tahoma"/>
          <w:szCs w:val="20"/>
        </w:rPr>
        <w:t>Izvedba zidu po priloženi skici; upoštevati tudi izkop in zasip za zidom ter potrebno opaženje</w:t>
      </w:r>
    </w:p>
    <w:p w:rsidR="003117A0" w:rsidRPr="008415E6" w:rsidRDefault="003117A0" w:rsidP="003117A0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8415E6">
        <w:rPr>
          <w:rFonts w:ascii="Tahoma" w:hAnsi="Tahoma" w:cs="Tahoma"/>
          <w:szCs w:val="20"/>
        </w:rPr>
        <w:t>Krono zidu prilagoditi niveleti pločnika in terenu za zidom</w:t>
      </w:r>
    </w:p>
    <w:p w:rsidR="003117A0" w:rsidRPr="008415E6" w:rsidRDefault="003117A0" w:rsidP="003117A0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8415E6">
        <w:rPr>
          <w:rFonts w:ascii="Tahoma" w:hAnsi="Tahoma" w:cs="Tahoma"/>
          <w:szCs w:val="20"/>
        </w:rPr>
        <w:t>Lesena varnostna ograja za pešce višine 1,2 m, dolžina 11 m</w:t>
      </w:r>
    </w:p>
    <w:p w:rsidR="003117A0" w:rsidRPr="008415E6" w:rsidRDefault="003117A0" w:rsidP="003117A0">
      <w:pPr>
        <w:pStyle w:val="Telobesedila2"/>
        <w:rPr>
          <w:rFonts w:ascii="Tahoma" w:hAnsi="Tahoma" w:cs="Tahoma"/>
          <w:szCs w:val="20"/>
        </w:rPr>
      </w:pPr>
    </w:p>
    <w:p w:rsidR="003117A0" w:rsidRPr="008415E6" w:rsidRDefault="003117A0" w:rsidP="003117A0">
      <w:pPr>
        <w:pStyle w:val="Telobesedila2"/>
        <w:rPr>
          <w:rFonts w:ascii="Tahoma" w:hAnsi="Tahoma" w:cs="Tahoma"/>
          <w:szCs w:val="20"/>
        </w:rPr>
      </w:pPr>
      <w:r w:rsidRPr="008415E6">
        <w:rPr>
          <w:rFonts w:ascii="Tahoma" w:hAnsi="Tahoma" w:cs="Tahoma"/>
          <w:szCs w:val="20"/>
        </w:rPr>
        <w:t>Skica zidu:</w:t>
      </w:r>
    </w:p>
    <w:p w:rsidR="003117A0" w:rsidRPr="00E311EB" w:rsidRDefault="003117A0" w:rsidP="003117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117A0" w:rsidRDefault="003117A0" w:rsidP="003117A0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37657383" wp14:editId="4A0D3AF0">
            <wp:extent cx="5763127" cy="84201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1400" cy="843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F4" w:rsidRPr="00E311EB" w:rsidRDefault="00E813F4" w:rsidP="00037CE7">
      <w:pPr>
        <w:pStyle w:val="Konnaopomba-besedilo"/>
        <w:rPr>
          <w:rFonts w:ascii="Tahoma" w:hAnsi="Tahoma" w:cs="Tahoma"/>
          <w:szCs w:val="20"/>
        </w:rPr>
      </w:pPr>
    </w:p>
    <w:p w:rsidR="00556816" w:rsidRPr="00A16BF4" w:rsidRDefault="00556816" w:rsidP="00037CE7">
      <w:pPr>
        <w:rPr>
          <w:rFonts w:ascii="Tahoma" w:hAnsi="Tahoma" w:cs="Tahoma"/>
          <w:sz w:val="20"/>
          <w:szCs w:val="20"/>
        </w:rPr>
      </w:pPr>
    </w:p>
    <w:sectPr w:rsidR="00556816" w:rsidRPr="00A16B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3" w:rsidRDefault="00A833C3">
      <w:r>
        <w:separator/>
      </w:r>
    </w:p>
  </w:endnote>
  <w:endnote w:type="continuationSeparator" w:id="0">
    <w:p w:rsidR="00A833C3" w:rsidRDefault="00A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27A09">
            <w:rPr>
              <w:rFonts w:ascii="Arial" w:hAnsi="Arial"/>
              <w:noProof/>
              <w:sz w:val="16"/>
            </w:rPr>
            <w:t>4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27A09">
            <w:rPr>
              <w:rStyle w:val="tevilkastrani"/>
              <w:noProof/>
              <w:sz w:val="16"/>
            </w:rPr>
            <w:t>4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3" w:rsidRDefault="00A833C3">
      <w:r>
        <w:separator/>
      </w:r>
    </w:p>
  </w:footnote>
  <w:footnote w:type="continuationSeparator" w:id="0">
    <w:p w:rsidR="00A833C3" w:rsidRDefault="00A8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C57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42770827"/>
    <w:multiLevelType w:val="hybridMultilevel"/>
    <w:tmpl w:val="27868D88"/>
    <w:lvl w:ilvl="0" w:tplc="F984DB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8016E"/>
    <w:multiLevelType w:val="hybridMultilevel"/>
    <w:tmpl w:val="956A7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3"/>
    <w:rsid w:val="00037CE7"/>
    <w:rsid w:val="000646A9"/>
    <w:rsid w:val="001836BB"/>
    <w:rsid w:val="00216549"/>
    <w:rsid w:val="002507C2"/>
    <w:rsid w:val="00276875"/>
    <w:rsid w:val="00290551"/>
    <w:rsid w:val="003117A0"/>
    <w:rsid w:val="003133A6"/>
    <w:rsid w:val="00327A09"/>
    <w:rsid w:val="003560E2"/>
    <w:rsid w:val="003579C0"/>
    <w:rsid w:val="00424A5A"/>
    <w:rsid w:val="004359B8"/>
    <w:rsid w:val="0044323F"/>
    <w:rsid w:val="00470D84"/>
    <w:rsid w:val="00477D8C"/>
    <w:rsid w:val="00482828"/>
    <w:rsid w:val="004B34B5"/>
    <w:rsid w:val="0051413C"/>
    <w:rsid w:val="00543FA0"/>
    <w:rsid w:val="00556816"/>
    <w:rsid w:val="00581048"/>
    <w:rsid w:val="00634B0D"/>
    <w:rsid w:val="00637BE6"/>
    <w:rsid w:val="006A2952"/>
    <w:rsid w:val="006D0EF5"/>
    <w:rsid w:val="006F05AF"/>
    <w:rsid w:val="00715826"/>
    <w:rsid w:val="00807AF3"/>
    <w:rsid w:val="0082500F"/>
    <w:rsid w:val="0083706E"/>
    <w:rsid w:val="00935D70"/>
    <w:rsid w:val="009440F8"/>
    <w:rsid w:val="00976BA5"/>
    <w:rsid w:val="009B1FD9"/>
    <w:rsid w:val="00A05C73"/>
    <w:rsid w:val="00A16BF4"/>
    <w:rsid w:val="00A17575"/>
    <w:rsid w:val="00A833C3"/>
    <w:rsid w:val="00AD3747"/>
    <w:rsid w:val="00BC06B0"/>
    <w:rsid w:val="00BC4AC5"/>
    <w:rsid w:val="00BC5773"/>
    <w:rsid w:val="00DB7CDA"/>
    <w:rsid w:val="00E311EB"/>
    <w:rsid w:val="00E51016"/>
    <w:rsid w:val="00E66D5B"/>
    <w:rsid w:val="00E813F4"/>
    <w:rsid w:val="00EA1375"/>
    <w:rsid w:val="00ED0888"/>
    <w:rsid w:val="00F72E2E"/>
    <w:rsid w:val="00FA1E4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C5773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3117A0"/>
    <w:pPr>
      <w:spacing w:before="100" w:beforeAutospacing="1" w:after="100" w:afterAutospacing="1"/>
    </w:pPr>
    <w:rPr>
      <w:rFonts w:eastAsia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3117A0"/>
    <w:pPr>
      <w:ind w:left="720"/>
    </w:pPr>
    <w:rPr>
      <w:rFonts w:eastAsiaTheme="minorHAnsi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C5773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3117A0"/>
    <w:pPr>
      <w:spacing w:before="100" w:beforeAutospacing="1" w:after="100" w:afterAutospacing="1"/>
    </w:pPr>
    <w:rPr>
      <w:rFonts w:eastAsia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3117A0"/>
    <w:pPr>
      <w:ind w:left="720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png@01D7C110.4AF2E9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7C110.1BEB454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murko</cp:lastModifiedBy>
  <cp:revision>6</cp:revision>
  <cp:lastPrinted>2021-10-11T10:06:00Z</cp:lastPrinted>
  <dcterms:created xsi:type="dcterms:W3CDTF">2021-10-11T10:05:00Z</dcterms:created>
  <dcterms:modified xsi:type="dcterms:W3CDTF">2021-10-20T18:34:00Z</dcterms:modified>
</cp:coreProperties>
</file>